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E3523" w:rsidTr="00F93921">
        <w:tc>
          <w:tcPr>
            <w:tcW w:w="4774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2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217A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217A3A">
        <w:rPr>
          <w:rStyle w:val="tlid-translation"/>
          <w:sz w:val="24"/>
          <w:szCs w:val="24"/>
          <w:lang w:val="ru-RU"/>
        </w:rPr>
        <w:t>Тунис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3E46F1" w:rsidRPr="008A060A" w:rsidRDefault="00CF783E" w:rsidP="00CC2C58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217A3A">
        <w:rPr>
          <w:rStyle w:val="tlid-translation"/>
          <w:b/>
          <w:sz w:val="24"/>
          <w:szCs w:val="24"/>
          <w:lang w:val="ru-RU"/>
        </w:rPr>
        <w:t>Тунис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217A3A" w:rsidRPr="006169C3" w:rsidRDefault="00217A3A" w:rsidP="00056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056C1B">
        <w:rPr>
          <w:rFonts w:eastAsia="Times New Roman" w:cstheme="minorHAnsi"/>
          <w:i/>
          <w:color w:val="212121"/>
          <w:sz w:val="24"/>
          <w:szCs w:val="24"/>
        </w:rPr>
        <w:t> 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достъп 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качествено, приобщаващо и равнопоставено образование; </w:t>
      </w:r>
    </w:p>
    <w:p w:rsidR="001D4F9E" w:rsidRPr="008A060A" w:rsidRDefault="00217A3A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056C1B">
        <w:rPr>
          <w:rFonts w:eastAsia="Times New Roman" w:cstheme="minorHAnsi"/>
          <w:color w:val="212121"/>
          <w:sz w:val="24"/>
          <w:szCs w:val="24"/>
        </w:rPr>
        <w:t> 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 xml:space="preserve">Подкрепа за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осигуряване на универсално здравно покритие и достъп до качествени здравни услуги, включително чрез подобряване на здравната инфраструктура и осигуряване на специализирано медицинско оборудване</w:t>
      </w:r>
      <w:r w:rsidRPr="006169C3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A1059" w:rsidRPr="008A060A" w:rsidRDefault="00B93894" w:rsidP="008A060A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991C59" w:rsidRPr="00D14ECC" w:rsidRDefault="00991C59" w:rsidP="0099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Ремонт, реконструкция или оборудване на държавна или общинска образователна или здравна инфраструктура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Pr="00617B45">
        <w:rPr>
          <w:rFonts w:eastAsia="Times New Roman" w:cstheme="minorHAnsi"/>
          <w:iCs/>
          <w:color w:val="212121"/>
          <w:sz w:val="24"/>
          <w:szCs w:val="24"/>
          <w:lang w:val="bg-BG"/>
        </w:rPr>
        <w:t>(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принос към целите за устойчиво развитие – качествено образование, добро здраве и благополучие</w:t>
      </w:r>
      <w:r w:rsidRPr="00617B45">
        <w:rPr>
          <w:rFonts w:eastAsia="Times New Roman" w:cstheme="minorHAnsi"/>
          <w:iCs/>
          <w:color w:val="212121"/>
          <w:sz w:val="24"/>
          <w:szCs w:val="24"/>
          <w:lang w:val="bg-BG"/>
        </w:rPr>
        <w:t>)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; </w:t>
      </w:r>
    </w:p>
    <w:p w:rsidR="001D4F9E" w:rsidRPr="00331EE8" w:rsidRDefault="007314D5" w:rsidP="00331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Организиране на курсове за 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студенти и 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>повишаване квалификацията на служителите на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държавната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и 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>местна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та</w:t>
      </w:r>
      <w:r w:rsidRPr="00D14E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администрация</w:t>
      </w:r>
      <w:r w:rsidRPr="00D023B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(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принос към целите за устойчиво развитие – качествено образование, достоен труд и икономически растеж, и равнопоставеност на половете</w:t>
      </w:r>
      <w:r w:rsidRPr="004D17D9">
        <w:rPr>
          <w:rFonts w:eastAsia="Times New Roman" w:cstheme="minorHAnsi"/>
          <w:iCs/>
          <w:color w:val="212121"/>
          <w:sz w:val="24"/>
          <w:szCs w:val="24"/>
          <w:lang w:val="bg-BG"/>
        </w:rPr>
        <w:t>)</w:t>
      </w:r>
      <w:r w:rsidR="00331EE8">
        <w:rPr>
          <w:rFonts w:eastAsia="Times New Roman" w:cstheme="minorHAnsi"/>
          <w:iCs/>
          <w:color w:val="212121"/>
          <w:sz w:val="24"/>
          <w:szCs w:val="24"/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7E0B5C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991C59" w:rsidRPr="00B007F7" w:rsidRDefault="00991C59" w:rsidP="007E0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ученици и студенти (включително </w:t>
      </w:r>
      <w:r w:rsidR="00FE2089">
        <w:rPr>
          <w:rFonts w:eastAsia="Times New Roman" w:cstheme="minorHAnsi"/>
          <w:iCs/>
          <w:color w:val="212121"/>
          <w:sz w:val="24"/>
          <w:szCs w:val="24"/>
          <w:lang w:val="bg-BG"/>
        </w:rPr>
        <w:t>уязвими групи,</w:t>
      </w:r>
      <w:r w:rsidR="00FE2089"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>лица със специални потребности</w:t>
      </w:r>
      <w:r w:rsidR="00FE2089" w:rsidRPr="00FE2089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>и</w:t>
      </w:r>
      <w:r w:rsidR="00FE2089">
        <w:rPr>
          <w:rFonts w:eastAsia="Times New Roman" w:cstheme="minorHAnsi"/>
          <w:iCs/>
          <w:color w:val="212121"/>
          <w:sz w:val="24"/>
          <w:szCs w:val="24"/>
          <w:lang w:val="ru-RU"/>
        </w:rPr>
        <w:t>ли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 в неравностойно положение</w:t>
      </w:r>
      <w:r w:rsidR="006E455A" w:rsidRPr="006E455A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, </w:t>
      </w:r>
      <w:proofErr w:type="spellStart"/>
      <w:r w:rsidR="006E455A">
        <w:rPr>
          <w:rFonts w:eastAsia="Times New Roman" w:cstheme="minorHAnsi"/>
          <w:iCs/>
          <w:color w:val="212121"/>
          <w:sz w:val="24"/>
          <w:szCs w:val="24"/>
          <w:lang w:val="bg-BG"/>
        </w:rPr>
        <w:t>маргинализирани</w:t>
      </w:r>
      <w:proofErr w:type="spellEnd"/>
      <w:r w:rsidR="006E455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общности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>);</w:t>
      </w: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br/>
        <w:t>- преподаватели и административен персонал на училища и университети;</w:t>
      </w:r>
    </w:p>
    <w:p w:rsidR="00991C59" w:rsidRPr="00B007F7" w:rsidRDefault="00991C59" w:rsidP="007E0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лекари и служители в лечебни заведения; </w:t>
      </w:r>
    </w:p>
    <w:p w:rsidR="00991C59" w:rsidRPr="00B007F7" w:rsidRDefault="00991C59" w:rsidP="007E0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B007F7">
        <w:rPr>
          <w:rFonts w:eastAsia="Times New Roman" w:cstheme="minorHAnsi"/>
          <w:iCs/>
          <w:color w:val="212121"/>
          <w:sz w:val="24"/>
          <w:szCs w:val="24"/>
          <w:lang w:val="ru-RU"/>
        </w:rPr>
        <w:t>- служители на дъ</w:t>
      </w:r>
      <w:r w:rsidR="007E0B5C">
        <w:rPr>
          <w:rFonts w:eastAsia="Times New Roman" w:cstheme="minorHAnsi"/>
          <w:iCs/>
          <w:color w:val="212121"/>
          <w:sz w:val="24"/>
          <w:szCs w:val="24"/>
          <w:lang w:val="ru-RU"/>
        </w:rPr>
        <w:t>ржавната и местна администрация.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8E5D52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991C59" w:rsidRPr="00A76170" w:rsidRDefault="00991C59" w:rsidP="008E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sz w:val="24"/>
          <w:szCs w:val="24"/>
          <w:lang w:val="bg-BG"/>
        </w:rPr>
        <w:t>-</w:t>
      </w:r>
      <w:r>
        <w:rPr>
          <w:rFonts w:eastAsia="Times New Roman" w:cstheme="minorHAnsi"/>
          <w:sz w:val="24"/>
          <w:szCs w:val="24"/>
          <w:lang w:val="bg-BG"/>
        </w:rPr>
        <w:t> 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утвърждаване на </w:t>
      </w:r>
      <w:r>
        <w:rPr>
          <w:rFonts w:eastAsia="Times New Roman" w:cstheme="minorHAnsi"/>
          <w:iCs/>
          <w:sz w:val="24"/>
          <w:szCs w:val="24"/>
          <w:lang w:val="ru-RU"/>
        </w:rPr>
        <w:t>позитивния международен имидж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 на България</w:t>
      </w:r>
      <w:r w:rsidRPr="00B604E6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Cs/>
          <w:sz w:val="24"/>
          <w:szCs w:val="24"/>
          <w:lang w:val="bg-BG"/>
        </w:rPr>
        <w:t>като страна-донор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; </w:t>
      </w:r>
    </w:p>
    <w:p w:rsidR="00991C59" w:rsidRDefault="00991C59" w:rsidP="008E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iCs/>
          <w:sz w:val="24"/>
          <w:szCs w:val="24"/>
          <w:lang w:val="ru-RU"/>
        </w:rPr>
        <w:t>-</w:t>
      </w:r>
      <w:r>
        <w:rPr>
          <w:rFonts w:eastAsia="Times New Roman" w:cstheme="minorHAnsi"/>
          <w:sz w:val="24"/>
          <w:szCs w:val="24"/>
          <w:lang w:val="bg-BG"/>
        </w:rPr>
        <w:t> </w:t>
      </w:r>
      <w:r>
        <w:rPr>
          <w:rFonts w:eastAsia="Times New Roman" w:cstheme="minorHAnsi"/>
          <w:iCs/>
          <w:sz w:val="24"/>
          <w:szCs w:val="24"/>
          <w:lang w:val="ru-RU"/>
        </w:rPr>
        <w:t xml:space="preserve">осигуряване на приобщаващо, равнопоставено и 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>качеств</w:t>
      </w:r>
      <w:r>
        <w:rPr>
          <w:rFonts w:eastAsia="Times New Roman" w:cstheme="minorHAnsi"/>
          <w:iCs/>
          <w:sz w:val="24"/>
          <w:szCs w:val="24"/>
          <w:lang w:val="ru-RU"/>
        </w:rPr>
        <w:t xml:space="preserve">ено образование; </w:t>
      </w:r>
    </w:p>
    <w:p w:rsidR="00991C59" w:rsidRPr="00A76170" w:rsidRDefault="00991C59" w:rsidP="008E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>
        <w:rPr>
          <w:rFonts w:eastAsia="Times New Roman" w:cstheme="minorHAnsi"/>
          <w:iCs/>
          <w:sz w:val="24"/>
          <w:szCs w:val="24"/>
          <w:lang w:val="ru-RU"/>
        </w:rPr>
        <w:lastRenderedPageBreak/>
        <w:t>-</w:t>
      </w:r>
      <w:r>
        <w:rPr>
          <w:rFonts w:eastAsia="Times New Roman" w:cstheme="minorHAnsi"/>
          <w:sz w:val="24"/>
          <w:szCs w:val="24"/>
          <w:lang w:val="bg-BG"/>
        </w:rPr>
        <w:t> </w:t>
      </w:r>
      <w:r>
        <w:rPr>
          <w:rFonts w:eastAsia="Times New Roman" w:cstheme="minorHAnsi"/>
          <w:iCs/>
          <w:sz w:val="24"/>
          <w:szCs w:val="24"/>
          <w:lang w:val="ru-RU"/>
        </w:rPr>
        <w:t xml:space="preserve">осигуряване на достъп до качествено 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здравеопазване; </w:t>
      </w:r>
    </w:p>
    <w:p w:rsidR="00991C59" w:rsidRDefault="00991C59" w:rsidP="008E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>
        <w:rPr>
          <w:rFonts w:eastAsia="Times New Roman" w:cstheme="minorHAnsi"/>
          <w:iCs/>
          <w:sz w:val="24"/>
          <w:szCs w:val="24"/>
          <w:lang w:val="ru-RU"/>
        </w:rPr>
        <w:t>-</w:t>
      </w:r>
      <w:r>
        <w:rPr>
          <w:rFonts w:eastAsia="Times New Roman" w:cstheme="minorHAnsi"/>
          <w:sz w:val="24"/>
          <w:szCs w:val="24"/>
          <w:lang w:val="bg-BG"/>
        </w:rPr>
        <w:t> 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>принос към доброто управление и устойчиво икономическо развитие;</w:t>
      </w:r>
    </w:p>
    <w:p w:rsidR="0073165D" w:rsidRPr="00A76170" w:rsidRDefault="0073165D" w:rsidP="008E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>
        <w:rPr>
          <w:rFonts w:eastAsia="Times New Roman" w:cstheme="minorHAnsi"/>
          <w:iCs/>
          <w:sz w:val="24"/>
          <w:szCs w:val="24"/>
          <w:lang w:val="ru-RU"/>
        </w:rPr>
        <w:t>- изграждане и укрепване на административния капацитет на образователни и здравни институции;</w:t>
      </w:r>
    </w:p>
    <w:p w:rsidR="00991C59" w:rsidRPr="00A76170" w:rsidRDefault="00991C59" w:rsidP="008E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sz w:val="24"/>
          <w:szCs w:val="24"/>
          <w:lang w:val="ru-RU"/>
        </w:rPr>
      </w:pPr>
      <w:r w:rsidRPr="00A76170">
        <w:rPr>
          <w:rFonts w:eastAsia="Times New Roman" w:cstheme="minorHAnsi"/>
          <w:iCs/>
          <w:sz w:val="24"/>
          <w:szCs w:val="24"/>
          <w:lang w:val="ru-RU"/>
        </w:rPr>
        <w:t>-</w:t>
      </w:r>
      <w:r>
        <w:rPr>
          <w:rFonts w:eastAsia="Times New Roman" w:cstheme="minorHAnsi"/>
          <w:sz w:val="24"/>
          <w:szCs w:val="24"/>
          <w:lang w:val="bg-BG"/>
        </w:rPr>
        <w:t> </w:t>
      </w:r>
      <w:r w:rsidRPr="00A76170">
        <w:rPr>
          <w:rFonts w:eastAsia="Times New Roman" w:cstheme="minorHAnsi"/>
          <w:iCs/>
          <w:sz w:val="24"/>
          <w:szCs w:val="24"/>
          <w:lang w:val="ru-RU"/>
        </w:rPr>
        <w:t xml:space="preserve">повишаване качеството на живот. 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EC6573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A01622" w:rsidRDefault="003D6175" w:rsidP="002804EF">
      <w:pPr>
        <w:pStyle w:val="ListParagraph"/>
        <w:numPr>
          <w:ilvl w:val="0"/>
          <w:numId w:val="11"/>
        </w:numPr>
        <w:shd w:val="clear" w:color="auto" w:fill="FFFFFF"/>
        <w:spacing w:before="120" w:beforeAutospacing="0" w:after="120" w:afterAutospacing="0"/>
        <w:ind w:left="288" w:right="46" w:hanging="288"/>
        <w:jc w:val="both"/>
        <w:rPr>
          <w:rFonts w:asciiTheme="minorHAnsi" w:hAnsiTheme="minorHAnsi" w:cstheme="minorHAnsi"/>
          <w:iCs/>
          <w:lang w:val="bg-BG"/>
        </w:rPr>
      </w:pPr>
      <w:r w:rsidRPr="00A01622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A01622">
        <w:rPr>
          <w:rFonts w:asciiTheme="minorHAnsi" w:hAnsiTheme="minorHAnsi" w:cstheme="minorHAnsi"/>
          <w:iCs/>
          <w:lang w:val="bg-BG"/>
        </w:rPr>
        <w:t xml:space="preserve">- </w:t>
      </w:r>
      <w:r w:rsidRPr="00A01622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A01622" w:rsidRPr="00A01622">
        <w:rPr>
          <w:rFonts w:asciiTheme="minorHAnsi" w:hAnsiTheme="minorHAnsi" w:cstheme="minorHAnsi"/>
          <w:b/>
          <w:iCs/>
          <w:lang w:val="bg-BG"/>
        </w:rPr>
        <w:t>4</w:t>
      </w:r>
      <w:r w:rsidR="00284CD0" w:rsidRPr="00A01622">
        <w:rPr>
          <w:rFonts w:asciiTheme="minorHAnsi" w:hAnsiTheme="minorHAnsi" w:cstheme="minorHAnsi"/>
          <w:b/>
          <w:iCs/>
          <w:lang w:val="bg-BG"/>
        </w:rPr>
        <w:t>0</w:t>
      </w:r>
      <w:r w:rsidR="001F5968" w:rsidRPr="00A01622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A01622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0556DF" w:rsidRPr="00A01622" w:rsidRDefault="003D6175" w:rsidP="002804EF">
      <w:pPr>
        <w:pStyle w:val="ListParagraph"/>
        <w:numPr>
          <w:ilvl w:val="0"/>
          <w:numId w:val="11"/>
        </w:numPr>
        <w:shd w:val="clear" w:color="auto" w:fill="FFFFFF"/>
        <w:spacing w:after="120" w:afterAutospacing="0"/>
        <w:ind w:left="288" w:right="43" w:hanging="288"/>
        <w:jc w:val="both"/>
        <w:rPr>
          <w:rFonts w:asciiTheme="minorHAnsi" w:hAnsiTheme="minorHAnsi" w:cstheme="minorHAnsi"/>
          <w:iCs/>
          <w:lang w:val="bg-BG"/>
        </w:rPr>
      </w:pPr>
      <w:r w:rsidRPr="00A01622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A01622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A01622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A01622">
        <w:rPr>
          <w:rFonts w:asciiTheme="minorHAnsi" w:hAnsiTheme="minorHAnsi" w:cstheme="minorHAnsi"/>
          <w:iCs/>
          <w:lang w:val="bg-BG"/>
        </w:rPr>
        <w:t xml:space="preserve">- </w:t>
      </w:r>
      <w:r w:rsidRPr="00A01622">
        <w:rPr>
          <w:rFonts w:asciiTheme="minorHAnsi" w:hAnsiTheme="minorHAnsi" w:cstheme="minorHAnsi"/>
          <w:iCs/>
          <w:lang w:val="bg-BG"/>
        </w:rPr>
        <w:t xml:space="preserve">до </w:t>
      </w:r>
      <w:r w:rsidR="00A01622" w:rsidRPr="00A01622">
        <w:rPr>
          <w:rFonts w:asciiTheme="minorHAnsi" w:hAnsiTheme="minorHAnsi" w:cstheme="minorHAnsi"/>
          <w:b/>
          <w:color w:val="212121"/>
          <w:lang w:val="bg-BG"/>
        </w:rPr>
        <w:t>4</w:t>
      </w:r>
      <w:r w:rsidR="0091450D" w:rsidRPr="00A01622">
        <w:rPr>
          <w:rFonts w:asciiTheme="minorHAnsi" w:hAnsiTheme="minorHAnsi" w:cstheme="minorHAnsi"/>
          <w:b/>
          <w:color w:val="212121"/>
          <w:lang w:val="bg-BG"/>
        </w:rPr>
        <w:t>0</w:t>
      </w:r>
      <w:r w:rsidR="0091450D" w:rsidRPr="00A01622">
        <w:rPr>
          <w:rFonts w:asciiTheme="minorHAnsi" w:hAnsiTheme="minorHAnsi" w:cstheme="minorHAnsi"/>
          <w:b/>
          <w:color w:val="212121"/>
        </w:rPr>
        <w:t> </w:t>
      </w:r>
      <w:r w:rsidR="0091450D" w:rsidRPr="00A01622">
        <w:rPr>
          <w:rFonts w:asciiTheme="minorHAnsi" w:hAnsiTheme="minorHAnsi" w:cstheme="minorHAnsi"/>
          <w:b/>
          <w:color w:val="212121"/>
          <w:lang w:val="bg-BG"/>
        </w:rPr>
        <w:t xml:space="preserve">000 </w:t>
      </w:r>
      <w:r w:rsidRPr="00A01622">
        <w:rPr>
          <w:rFonts w:asciiTheme="minorHAnsi" w:hAnsiTheme="minorHAnsi" w:cstheme="minorHAnsi"/>
          <w:b/>
          <w:iCs/>
          <w:lang w:val="bg-BG"/>
        </w:rPr>
        <w:t>лв.</w:t>
      </w:r>
    </w:p>
    <w:p w:rsidR="000556DF" w:rsidRPr="00EC6573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>
        <w:rPr>
          <w:rFonts w:asciiTheme="minorHAnsi" w:hAnsiTheme="minorHAnsi" w:cstheme="minorHAnsi"/>
          <w:lang w:val="bg-BG"/>
        </w:rPr>
        <w:t>за проекти, чи</w:t>
      </w:r>
      <w:r w:rsidR="00385BAF">
        <w:rPr>
          <w:rFonts w:asciiTheme="minorHAnsi" w:hAnsiTheme="minorHAnsi" w:cstheme="minorHAnsi"/>
          <w:lang w:val="bg-BG"/>
        </w:rPr>
        <w:t>ято основна цел е</w:t>
      </w:r>
      <w:r>
        <w:rPr>
          <w:rFonts w:asciiTheme="minorHAnsi" w:hAnsiTheme="minorHAnsi" w:cstheme="minorHAnsi"/>
          <w:lang w:val="bg-BG"/>
        </w:rPr>
        <w:t xml:space="preserve"> изпълнение са</w:t>
      </w:r>
      <w:r w:rsidR="000556DF" w:rsidRPr="00EC6573">
        <w:rPr>
          <w:rFonts w:asciiTheme="minorHAnsi" w:hAnsiTheme="minorHAnsi" w:cstheme="minorHAnsi"/>
          <w:lang w:val="bg-BG"/>
        </w:rPr>
        <w:t xml:space="preserve"> т.нар. </w:t>
      </w:r>
      <w:r w:rsidR="000556DF" w:rsidRPr="00EC6573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EC6573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EC6573">
        <w:rPr>
          <w:rFonts w:asciiTheme="minorHAnsi" w:hAnsiTheme="minorHAnsi" w:cstheme="minorHAnsi"/>
          <w:lang w:val="bg-BG"/>
        </w:rPr>
        <w:t xml:space="preserve"> и др./, 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EC6573">
        <w:rPr>
          <w:rFonts w:asciiTheme="minorHAnsi" w:hAnsiTheme="minorHAnsi" w:cstheme="minorHAnsi"/>
          <w:b/>
          <w:lang w:val="bg-BG"/>
        </w:rPr>
        <w:t>3</w:t>
      </w:r>
      <w:r w:rsidR="000556DF" w:rsidRPr="00EC6573">
        <w:rPr>
          <w:rFonts w:asciiTheme="minorHAnsi" w:hAnsiTheme="minorHAnsi" w:cstheme="minorHAnsi"/>
          <w:b/>
          <w:lang w:val="bg-BG"/>
        </w:rPr>
        <w:t>0</w:t>
      </w:r>
      <w:r w:rsidR="000556DF" w:rsidRPr="000556DF">
        <w:rPr>
          <w:rFonts w:asciiTheme="minorHAnsi" w:hAnsiTheme="minorHAnsi" w:cstheme="minorHAnsi"/>
          <w:b/>
        </w:rPr>
        <w:t> 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000 лв., както и срокът за изпълнение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месеца.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C00B2E">
      <w:pPr>
        <w:shd w:val="clear" w:color="auto" w:fill="FFFFFF"/>
        <w:spacing w:before="120"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C00B2E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C00B2E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Pr="00B40895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C00B2E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EC6573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>Приоритетни:</w:t>
      </w:r>
    </w:p>
    <w:p w:rsidR="00C224A8" w:rsidRPr="00B12C2A" w:rsidRDefault="003D6175" w:rsidP="003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B12C2A">
        <w:rPr>
          <w:rFonts w:cstheme="minorHAnsi"/>
          <w:color w:val="212121"/>
          <w:sz w:val="24"/>
          <w:szCs w:val="24"/>
          <w:lang w:val="bg-BG"/>
        </w:rPr>
        <w:t xml:space="preserve">на </w:t>
      </w:r>
      <w:r w:rsidR="003F0908">
        <w:rPr>
          <w:rFonts w:cstheme="minorHAnsi"/>
          <w:color w:val="212121"/>
          <w:sz w:val="24"/>
          <w:szCs w:val="24"/>
          <w:lang w:val="ru-RU"/>
        </w:rPr>
        <w:t>Тунис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C00B2E" w:rsidRPr="00C00B2E" w:rsidRDefault="00C00B2E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C00B2E">
        <w:rPr>
          <w:rFonts w:cstheme="minorHAnsi"/>
          <w:color w:val="212121"/>
          <w:sz w:val="24"/>
          <w:szCs w:val="24"/>
          <w:lang w:val="bg-BG"/>
        </w:rPr>
        <w:t>Международни и местни неправителствени организации;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814F03" w:rsidRDefault="000B48F1" w:rsidP="003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C00B2E">
        <w:rPr>
          <w:rFonts w:cstheme="minorHAnsi"/>
          <w:color w:val="212121"/>
          <w:sz w:val="24"/>
          <w:szCs w:val="24"/>
          <w:lang w:val="bg-BG"/>
        </w:rPr>
        <w:t>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077D35" w:rsidRDefault="00077D35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077D35" w:rsidRDefault="00077D35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B40895" w:rsidRDefault="00D351BD" w:rsidP="00E07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lastRenderedPageBreak/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lastRenderedPageBreak/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573DB">
      <w:pPr>
        <w:pStyle w:val="ListParagraph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573DB">
      <w:pPr>
        <w:shd w:val="clear" w:color="auto" w:fill="FFFFFF"/>
        <w:spacing w:before="240" w:after="12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573DB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9D416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9D4167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lang w:val="bg-BG"/>
        </w:rPr>
      </w:pPr>
      <w:r w:rsidRPr="00EC6573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8853E2" w:rsidRPr="008853E2" w:rsidRDefault="008853E2" w:rsidP="008853E2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9D4167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25580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проектното предложение, Посолството на Република България в </w:t>
      </w:r>
      <w:r w:rsidR="00255805">
        <w:rPr>
          <w:rFonts w:cstheme="minorHAnsi"/>
          <w:color w:val="212121"/>
          <w:lang w:val="ru-RU"/>
        </w:rPr>
        <w:t>Тунис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EC6573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061B4" w:rsidRPr="0036757D" w:rsidRDefault="003061B4" w:rsidP="00A01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212121"/>
          <w:sz w:val="24"/>
          <w:szCs w:val="24"/>
          <w:u w:val="single"/>
          <w:lang w:val="bg-BG"/>
        </w:rPr>
      </w:pP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Крайният срок за набиране на предложения е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3</w:t>
      </w:r>
      <w:r w:rsidR="00A01622" w:rsidRPr="00A0162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ru-RU"/>
        </w:rPr>
        <w:t>1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</w:t>
      </w:r>
      <w:r w:rsidR="00A0162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юли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202</w:t>
      </w:r>
      <w:r w:rsidR="00A0162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4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36757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на електронния адрес на посолството: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</w:rPr>
        <w:t> </w:t>
      </w:r>
      <w:hyperlink r:id="rId10" w:history="1"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Embassy</w:t>
        </w:r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Tunis</w:t>
        </w:r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@</w:t>
        </w:r>
        <w:proofErr w:type="spellStart"/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mfa</w:t>
        </w:r>
        <w:proofErr w:type="spellEnd"/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  <w:lang w:val="bg-BG"/>
          </w:rPr>
          <w:t>.</w:t>
        </w:r>
        <w:proofErr w:type="spellStart"/>
        <w:r w:rsidRPr="0036757D">
          <w:rPr>
            <w:rStyle w:val="Hyperlink"/>
            <w:rFonts w:eastAsia="Times New Roman" w:cstheme="minorHAnsi"/>
            <w:bCs/>
            <w:iCs/>
            <w:sz w:val="24"/>
            <w:szCs w:val="24"/>
          </w:rPr>
          <w:t>bg</w:t>
        </w:r>
        <w:proofErr w:type="spellEnd"/>
      </w:hyperlink>
      <w:r w:rsidRPr="0036757D">
        <w:rPr>
          <w:rFonts w:eastAsia="Times New Roman" w:cstheme="minorHAnsi"/>
          <w:bCs/>
          <w:iCs/>
          <w:color w:val="212121"/>
          <w:sz w:val="24"/>
          <w:szCs w:val="24"/>
          <w:u w:val="single"/>
          <w:lang w:val="bg-BG"/>
        </w:rPr>
        <w:t xml:space="preserve"> </w:t>
      </w:r>
    </w:p>
    <w:p w:rsidR="005C594D" w:rsidRPr="00837C58" w:rsidRDefault="003061B4" w:rsidP="0030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 xml:space="preserve">Документите трябва да бъдат изпратени във формат 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</w:rPr>
        <w:t>word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 xml:space="preserve"> и сканирани във формат </w:t>
      </w:r>
      <w:r w:rsidRPr="0036757D">
        <w:rPr>
          <w:rFonts w:eastAsia="Times New Roman" w:cstheme="minorHAnsi"/>
          <w:bCs/>
          <w:iCs/>
          <w:color w:val="212121"/>
          <w:sz w:val="24"/>
          <w:szCs w:val="24"/>
        </w:rPr>
        <w:t>pdf</w:t>
      </w: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42188D" w:rsidRPr="00C6334B" w:rsidRDefault="0042188D" w:rsidP="009D416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9D4167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88" w:hanging="288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9D416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9D416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Default="00D351BD" w:rsidP="009D416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9D416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9D416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7062B5" w:rsidRDefault="003667E0" w:rsidP="00146B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146B1E">
        <w:rPr>
          <w:rFonts w:eastAsia="Times New Roman" w:cstheme="minorHAnsi"/>
          <w:color w:val="212121"/>
          <w:sz w:val="24"/>
          <w:szCs w:val="24"/>
          <w:lang w:val="bg-BG"/>
        </w:rPr>
        <w:t>Тунис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9D4167" w:rsidRPr="00DE541A" w:rsidRDefault="009D4167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lastRenderedPageBreak/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077D35">
      <w:footerReference w:type="default" r:id="rId11"/>
      <w:pgSz w:w="12240" w:h="15840"/>
      <w:pgMar w:top="1170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87" w:rsidRDefault="00D52C87" w:rsidP="003E46F1">
      <w:pPr>
        <w:spacing w:after="0" w:line="240" w:lineRule="auto"/>
      </w:pPr>
      <w:r>
        <w:separator/>
      </w:r>
    </w:p>
  </w:endnote>
  <w:endnote w:type="continuationSeparator" w:id="0">
    <w:p w:rsidR="00D52C87" w:rsidRDefault="00D52C87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1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87" w:rsidRDefault="00D52C87" w:rsidP="003E46F1">
      <w:pPr>
        <w:spacing w:after="0" w:line="240" w:lineRule="auto"/>
      </w:pPr>
      <w:r>
        <w:separator/>
      </w:r>
    </w:p>
  </w:footnote>
  <w:footnote w:type="continuationSeparator" w:id="0">
    <w:p w:rsidR="00D52C87" w:rsidRDefault="00D52C87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556DF"/>
    <w:rsid w:val="00056C1B"/>
    <w:rsid w:val="00067A16"/>
    <w:rsid w:val="000764FB"/>
    <w:rsid w:val="00076984"/>
    <w:rsid w:val="000778B3"/>
    <w:rsid w:val="00077D35"/>
    <w:rsid w:val="00083CDC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497B"/>
    <w:rsid w:val="000F54B6"/>
    <w:rsid w:val="0012296E"/>
    <w:rsid w:val="001302CC"/>
    <w:rsid w:val="0013609B"/>
    <w:rsid w:val="001445D1"/>
    <w:rsid w:val="00146B1E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17A3A"/>
    <w:rsid w:val="00220D70"/>
    <w:rsid w:val="002228F8"/>
    <w:rsid w:val="00222C05"/>
    <w:rsid w:val="002310AA"/>
    <w:rsid w:val="00235E78"/>
    <w:rsid w:val="00255805"/>
    <w:rsid w:val="00265E72"/>
    <w:rsid w:val="0026733B"/>
    <w:rsid w:val="00271C40"/>
    <w:rsid w:val="002804EF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061B4"/>
    <w:rsid w:val="00326EB3"/>
    <w:rsid w:val="00327425"/>
    <w:rsid w:val="00331EE8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3F0908"/>
    <w:rsid w:val="00403339"/>
    <w:rsid w:val="00403775"/>
    <w:rsid w:val="0041066A"/>
    <w:rsid w:val="0041406E"/>
    <w:rsid w:val="004157E9"/>
    <w:rsid w:val="00417181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2C2A"/>
    <w:rsid w:val="00550F2B"/>
    <w:rsid w:val="00561D46"/>
    <w:rsid w:val="00563038"/>
    <w:rsid w:val="00563962"/>
    <w:rsid w:val="00563B01"/>
    <w:rsid w:val="00564F40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C7547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3523"/>
    <w:rsid w:val="006E455A"/>
    <w:rsid w:val="006E6586"/>
    <w:rsid w:val="006F3AAA"/>
    <w:rsid w:val="0070122E"/>
    <w:rsid w:val="00705933"/>
    <w:rsid w:val="007062B5"/>
    <w:rsid w:val="0071166B"/>
    <w:rsid w:val="007239F8"/>
    <w:rsid w:val="007314D5"/>
    <w:rsid w:val="0073165D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0B5C"/>
    <w:rsid w:val="007E4483"/>
    <w:rsid w:val="007F2D8C"/>
    <w:rsid w:val="007F77C3"/>
    <w:rsid w:val="008070D7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53E2"/>
    <w:rsid w:val="00896D8E"/>
    <w:rsid w:val="008975A0"/>
    <w:rsid w:val="008A060A"/>
    <w:rsid w:val="008B31BC"/>
    <w:rsid w:val="008B6F1C"/>
    <w:rsid w:val="008E1374"/>
    <w:rsid w:val="008E5D52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0DF4"/>
    <w:rsid w:val="00991C59"/>
    <w:rsid w:val="0099314B"/>
    <w:rsid w:val="00994907"/>
    <w:rsid w:val="009A1F77"/>
    <w:rsid w:val="009A446A"/>
    <w:rsid w:val="009B327C"/>
    <w:rsid w:val="009C0135"/>
    <w:rsid w:val="009C1DD8"/>
    <w:rsid w:val="009C3EE1"/>
    <w:rsid w:val="009D4167"/>
    <w:rsid w:val="009F1DF5"/>
    <w:rsid w:val="009F2551"/>
    <w:rsid w:val="009F2B56"/>
    <w:rsid w:val="00A01622"/>
    <w:rsid w:val="00A04C0D"/>
    <w:rsid w:val="00A14F41"/>
    <w:rsid w:val="00A200EF"/>
    <w:rsid w:val="00A406B2"/>
    <w:rsid w:val="00A51EFA"/>
    <w:rsid w:val="00A60EFF"/>
    <w:rsid w:val="00A618A4"/>
    <w:rsid w:val="00A65E1E"/>
    <w:rsid w:val="00A75138"/>
    <w:rsid w:val="00A8795C"/>
    <w:rsid w:val="00AB4C5F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573DB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005D6"/>
    <w:rsid w:val="00C00B2E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C2C58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C87"/>
    <w:rsid w:val="00D52FEE"/>
    <w:rsid w:val="00D63F24"/>
    <w:rsid w:val="00D647D7"/>
    <w:rsid w:val="00D66A15"/>
    <w:rsid w:val="00D744CA"/>
    <w:rsid w:val="00D9501B"/>
    <w:rsid w:val="00DA323F"/>
    <w:rsid w:val="00DA3B03"/>
    <w:rsid w:val="00DC0ACF"/>
    <w:rsid w:val="00DE3405"/>
    <w:rsid w:val="00DE541A"/>
    <w:rsid w:val="00DF15D2"/>
    <w:rsid w:val="00E03127"/>
    <w:rsid w:val="00E07C40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EF49F0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3921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2089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41B9"/>
  <w15:docId w15:val="{E9D11F71-8496-4C20-B1FF-FCC3A9B5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uni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94EABFE-53DB-43BF-8BA7-B422260F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18</cp:revision>
  <cp:lastPrinted>2023-03-17T10:29:00Z</cp:lastPrinted>
  <dcterms:created xsi:type="dcterms:W3CDTF">2024-06-10T09:52:00Z</dcterms:created>
  <dcterms:modified xsi:type="dcterms:W3CDTF">2024-06-10T10:14:00Z</dcterms:modified>
</cp:coreProperties>
</file>